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2"/>
        </w:rPr>
        <w:t>免责声明</w:t>
      </w:r>
    </w:p>
    <w:p/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本工具仅供学习交流免费使用，所生成的技术方案不可直接用于投标，请务必人工核对。本工具不会通过任何平台进行销售，请用户注意辨别真伪。在您开始使用本AI标书制作服务之前，请认真阅读并同意以下关键条款。一旦您继续使用，即表示您已充分理解并认可本提示的全部内容。</w:t>
      </w:r>
    </w:p>
    <w:p>
      <w:pPr>
        <w:spacing w:after="80" w:line="360" w:lineRule="auto"/>
      </w:pPr>
      <w:r>
        <w:rPr>
          <w:rFonts w:ascii="Times New Roman" w:hAnsi="Times New Roman" w:eastAsia="宋体"/>
          <w:sz w:val="21"/>
        </w:rPr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服务定位</w:t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本工具为单机使用的AI标书辅助工具，旨在帮助您生成标书的参考素材。您需对最终自己编写的标书文件承担全部责任，包括审核、修改内容，确保其符合相关法律法规及项目要求。</w:t>
      </w:r>
    </w:p>
    <w:p>
      <w:pPr>
        <w:spacing w:after="80" w:line="360" w:lineRule="auto"/>
      </w:pPr>
      <w:r>
        <w:rPr>
          <w:rFonts w:ascii="Times New Roman" w:hAnsi="Times New Roman" w:eastAsia="宋体"/>
          <w:sz w:val="21"/>
        </w:rPr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准确性免责</w:t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本人不对AI生成内容的完全准确性与完整性作任何保证。您有义务自行核实所有关键信息，并自行承担因使用本工具所引发的一切后果。</w:t>
      </w:r>
    </w:p>
    <w:p>
      <w:pPr>
        <w:spacing w:after="80" w:line="360" w:lineRule="auto"/>
      </w:pPr>
      <w:r>
        <w:rPr>
          <w:rFonts w:ascii="Times New Roman" w:hAnsi="Times New Roman" w:eastAsia="宋体"/>
          <w:sz w:val="21"/>
        </w:rPr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标书风险</w:t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本工具所生成的素材文件仅作参考。若您使用（包括引用、修改或二次创作），需自行承担由此可能导致的废标、侵权等全部风险与责任，本人不承担任何相关责任。</w:t>
      </w:r>
    </w:p>
    <w:p>
      <w:pPr>
        <w:spacing w:after="80" w:line="360" w:lineRule="auto"/>
      </w:pPr>
      <w:r>
        <w:rPr>
          <w:rFonts w:ascii="Times New Roman" w:hAnsi="Times New Roman" w:eastAsia="宋体"/>
          <w:sz w:val="21"/>
        </w:rPr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责任限制</w:t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任何情形下，本人均不对因使用本服务而造成的任何直接、间接或衍生损失（例如利润损失、业务中断、数据丢失等）承担法律责任。</w:t>
      </w:r>
    </w:p>
    <w:p>
      <w:pPr>
        <w:spacing w:after="80" w:line="360" w:lineRule="auto"/>
      </w:pPr>
      <w:r>
        <w:rPr>
          <w:rFonts w:ascii="Times New Roman" w:hAnsi="Times New Roman" w:eastAsia="宋体"/>
          <w:sz w:val="21"/>
        </w:rPr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其他事项</w:t>
      </w:r>
    </w:p>
    <w:p>
      <w:pPr>
        <w:spacing w:after="80" w:line="360" w:lineRule="auto"/>
      </w:pPr>
      <w:r>
        <w:rPr>
          <w:rFonts w:ascii="Times New Roman" w:hAnsi="Times New Roman" w:eastAsia="宋体"/>
          <w:b/>
          <w:sz w:val="22"/>
        </w:rPr>
        <w:t>本人保留随时修改或终止本服务的权利。本提示的解释及争议解决，均适用中华人民共和国法律。</w:t>
      </w:r>
    </w:p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color w:val="1A56DB"/>
          <w:sz w:val="44"/>
        </w:rPr>
        <w:t>一、kuuy技术标书</w:t>
      </w:r>
    </w:p>
    <w:p/>
    <w:p>
      <w:pPr>
        <w:jc w:val="center"/>
      </w:pPr>
      <w:r>
        <w:rPr>
          <w:rFonts w:ascii="宋体" w:hAnsi="宋体" w:eastAsia="宋体"/>
          <w:sz w:val="28"/>
        </w:rPr>
        <w:t>2026年04月</w:t>
      </w:r>
    </w:p>
    <w:p>
      <w:r>
        <w:br w:type="page"/>
      </w:r>
    </w:p>
    <w:p>
      <w:pPr>
        <w:jc w:val="center"/>
      </w:pPr>
      <w:r>
        <w:rPr>
          <w:rFonts w:ascii="黑体" w:hAnsi="黑体" w:eastAsia="黑体"/>
          <w:b/>
          <w:sz w:val="32"/>
        </w:rPr>
        <w:t>目录</w:t>
      </w:r>
    </w:p>
    <w:p/>
    <w:p>
      <w:pPr>
        <w:spacing w:after="60"/>
        <w:ind w:left="0"/>
      </w:pPr>
      <w:r>
        <w:rPr>
          <w:rFonts w:ascii="宋体" w:hAnsi="宋体" w:eastAsia="宋体"/>
          <w:sz w:val="24"/>
        </w:rPr>
        <w:t>一、kuuy技术标书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1.1 施工组织设计总体框架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1.1.1 项目实施目标与质量标准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1.1.2 工程特点与施工难点分析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1.2 管道铺设专项施工方案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1.2.1 配水干管（3.75 km）施工工艺流程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1.2.2 支管与入户管（共21.71 km）分段作业计划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1.3 质量控制体系与过程管理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1.3.1 材料进场检验与隐蔽工程验收机制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1.3.2 分项工程质量达标保障措施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二、施工方案与技术措施；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2.1 配水干管施工技术方案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2.1.1 管道沟槽开挖与支护工艺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2.1.2 PE管材铺设及热熔连接质量控制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2.2 配水支管施工组织与工艺流程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2.2.1 分段流水作业计划与工序衔接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2.2.2 支管埋深与坡度控制标准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2.3 入户管安装技术措施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2.3.1 户内入户管预埋与防冻处理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2.3.2 水表井设置与计量精度保障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三、项目重难点及应对措施分析；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3.1 东庄村配水干管施工重难点分析与应对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3.1.1 管道埋深控制与地基承载力匹配措施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3.1.2 山区地形条件下管道坡度调整及排水保障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3.2 支管与入户管交叉施工协调机制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3.2.1 多区域同步作业资源调度优化方案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3.2.2 村内道路通行限制下的分段施工组织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3.3 阀门井密集布设带来的施工干扰防控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3.3.1 座阀门井定位精度控制技术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3.3.2 井位冲突与管线避让动态调整策略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四、质量管理体系与措施；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4.1 质量管理体系架构与责任分工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4.1.1 项目质量目标分解与岗位职责矩阵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4.1.1.1 项目经理质量责任制落实机制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4.1.1.2 技术负责人技术交底制度执行流程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4.2 材料设备进场质量控制措施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4.2.1 管材、阀门井配件等主材进场检验标准（GB/T 13663）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4.2.1.1 材料报验流程与第三方检测联动机制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4.3 施工过程质量控制要点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4.3.1 配水干管、支管及入户管铺设工艺控制节点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五、安全管理体系与措施；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5.1 安全生产责任体系构建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5.1.1 项目部专职安全管理人员配置方案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5.1.1.1 安全员持证上岗与职责分工矩阵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5.2 施工现场安全防护措施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5.2.1 管道沟槽开挖临边防护标准化做法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5.2.1.1 防护栏杆设置间距与强度验算依据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5.3 危险源辨识与风险预控机制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5.3.1 高处作业、用电、机械操作等重点风险清单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5.3.1.1 分阶段动态风险评估表（含阀门井施工）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六、水保、环保管理体系与措施；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6.1 水土保持专项方案编制与实施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6.1.1 施工区域水土流失风险识别与分区管控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6.1.2 临时堆土区防护措施（含挡土墙、覆盖网）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6.1.3 管道沟槽开挖边坡稳定与植被恢复措施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6.2 环境保护控制措施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6.2.1 施工扬尘治理（洒水降尘、围挡封闭）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6.2.2 废弃物分类处置与运输管理（含施工垃圾、管材包装）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6.2.3 噪声污染控制（夜间施工审批与低噪设备使用）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七、工程进度计划与措施；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7.1 施工进度计划编制依据与逻辑框架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7.1.1 基于WBS的分项工程分解结构（配水干管、支管、入户管、阀门井）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7.1.2 关键线路识别与工期控制节点（东庄村与上庄村同步推进策略）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7.2 分阶段施工进度安排与里程碑控制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7.2.1 地下管道铺设作业带划分与交叉施工组织（按村域分区实施）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7.2.2 阀门井布设与管网安装协同进度模型（655座井位动态调度）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7.3 进度保障措施体系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7.3.1 人力资源配置计划（日均投入施工人员≥30人，含测量、焊接、土方等专业工种）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八、资源配备计划；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8.1 人力资源配置计划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8.1.1 项目管理团队岗位设置与职责分工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8.1.2 施工现场作业人员数量及专业结构匹配方案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8.2 主要施工设备配备计划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8.2.1 管道铺设专用设备清单（挖掘机、吊车、焊接机等）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8.2.2 测量与检测仪器配置方案（水准仪、全站仪、水质检测仪）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8.3 材料供应保障措施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8.3.1 配水干管、支管及入户管材进场计划与质量控制流程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九、项目风险预测与防范，应急预案；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9.1 项目风险识别与分级管理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9.1.1 地质条件不确定性应对策略（基于东庄村地形特点）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9.1.2 管道施工穿越农田/道路的风险预判与规避措施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9.2 应急预案体系构建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9.2.1 管道破裂应急处置流程（含抢修资源调配机制）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9.2.2 雨季施工突发塌方的快速响应方案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9.3 安全生产专项防范措施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9.3.1 阀门井开挖作业防坍塌控制要点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十、项目的合理化建议；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10.1 施工组织设计总体框架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10.1.1 东庄村与上庄村分段施工协调机制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10.1.1.1 区域作业面划分与交叉施工控制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10.1.1.2 材料运输路径优化方案（含入户管铺设动线）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10.2 配水干管与支管施工技术措施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10.2.1 常规开挖埋管工艺流程标准化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10.2.1.1 管道沟槽开挖与回填质量控制要点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10.3 入户管安装专项保障措施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十一、重要分部工程或危险性较大的安全专项施工方案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11.1 施工组织设计总体框架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11.1.1 东庄村与上庄村分段施工逻辑划分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11.1.1.1 配水干管（3.75 km）施工分区与作业面安排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11.1.1.2 支管（6.74 km）与入户管（14.97 km）同步推进策略</w:t>
      </w:r>
    </w:p>
    <w:p>
      <w:pPr>
        <w:spacing w:after="60"/>
        <w:ind w:left="425"/>
      </w:pPr>
      <w:r>
        <w:rPr>
          <w:rFonts w:ascii="宋体" w:hAnsi="宋体" w:eastAsia="宋体"/>
          <w:sz w:val="24"/>
        </w:rPr>
        <w:t>11.2 关键工序技术措施</w:t>
      </w:r>
    </w:p>
    <w:p>
      <w:pPr>
        <w:spacing w:after="60"/>
        <w:ind w:left="850"/>
      </w:pPr>
      <w:r>
        <w:rPr>
          <w:rFonts w:ascii="宋体" w:hAnsi="宋体" w:eastAsia="宋体"/>
          <w:sz w:val="24"/>
        </w:rPr>
        <w:t>11.2.1 管道埋设工艺流程标准化控制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11.2.1.1 沟槽开挖与回填压实质量控制要点</w:t>
      </w:r>
    </w:p>
    <w:p>
      <w:pPr>
        <w:spacing w:after="60"/>
        <w:ind w:left="1276"/>
      </w:pPr>
      <w:r>
        <w:rPr>
          <w:rFonts w:ascii="宋体" w:hAnsi="宋体" w:eastAsia="宋体"/>
          <w:sz w:val="24"/>
        </w:rPr>
        <w:t>11.2.1.2 阀门井（655座）定位精度与结构稳定性保障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十二、附件一、拟投入本标段的主要施工设备表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十三、附件二、拟投入本标段的试验和检测仪器设备表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十四、附件三、拟投入本标段的劳动力计划表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十五、附件四、计划开工日期、完工日期和施工进度网络图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十六、附件五、施工总平面图</w:t>
      </w:r>
    </w:p>
    <w:p>
      <w:pPr>
        <w:spacing w:after="60"/>
        <w:ind w:left="0"/>
      </w:pPr>
      <w:r>
        <w:rPr>
          <w:rFonts w:ascii="宋体" w:hAnsi="宋体" w:eastAsia="宋体"/>
          <w:sz w:val="24"/>
        </w:rPr>
        <w:t>十七、附件六、临时用地表</w:t>
      </w:r>
    </w:p>
    <w:p>
      <w:r>
        <w:br w:type="page"/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一、kuuy技术标书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1.1 施工组织设计总体框架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1.1.1 项目实施目标与质量标准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1.1.2 工程特点与施工难点分析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1.2 管道铺设专项施工方案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1.2.1 配水干管（3.75 km）施工工艺流程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1.2.2 支管与入户管（共21.71 km）分段作业计划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1.3 质量控制体系与过程管理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1.3.1 材料进场检验与隐蔽工程验收机制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1.3.2 分项工程质量达标保障措施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二、施工方案与技术措施；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2.1 配水干管施工技术方案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2.1.1 管道沟槽开挖与支护工艺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2.1.2 PE管材铺设及热熔连接质量控制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2.2 配水支管施工组织与工艺流程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2.2.1 分段流水作业计划与工序衔接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2.2.2 支管埋深与坡度控制标准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2.3 入户管安装技术措施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2.3.1 户内入户管预埋与防冻处理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2.3.2 水表井设置与计量精度保障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三、项目重难点及应对措施分析；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3.1 东庄村配水干管施工重难点分析与应对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3.1.1 管道埋深控制与地基承载力匹配措施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3.1.2 山区地形条件下管道坡度调整及排水保障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3.2 支管与入户管交叉施工协调机制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3.2.1 多区域同步作业资源调度优化方案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3.2.2 村内道路通行限制下的分段施工组织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3.3 阀门井密集布设带来的施工干扰防控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3.3.1 座阀门井定位精度控制技术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3.3.2 井位冲突与管线避让动态调整策略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四、质量管理体系与措施；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4.1 质量管理体系架构与责任分工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4.1.1 项目质量目标分解与岗位职责矩阵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4.1.1.1 项目经理质量责任制落实机制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4.1.1.2 技术负责人技术交底制度执行流程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4.2 材料设备进场质量控制措施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4.2.1 管材、阀门井配件等主材进场检验标准（GB/T 13663）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4.2.1.1 材料报验流程与第三方检测联动机制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4.3 施工过程质量控制要点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4.3.1 配水干管、支管及入户管铺设工艺控制节点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五、安全管理体系与措施；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5.1 安全生产责任体系构建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5.1.1 项目部专职安全管理人员配置方案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5.1.1.1 安全员持证上岗与职责分工矩阵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5.2 施工现场安全防护措施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5.2.1 管道沟槽开挖临边防护标准化做法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5.2.1.1 防护栏杆设置间距与强度验算依据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5.3 危险源辨识与风险预控机制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5.3.1 高处作业、用电、机械操作等重点风险清单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5.3.1.1 分阶段动态风险评估表（含阀门井施工）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六、水保、环保管理体系与措施；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6.1 水土保持专项方案编制与实施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6.1.1 施工区域水土流失风险识别与分区管控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6.1.2 临时堆土区防护措施（含挡土墙、覆盖网）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6.1.3 管道沟槽开挖边坡稳定与植被恢复措施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6.2 环境保护控制措施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6.2.1 施工扬尘治理（洒水降尘、围挡封闭）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6.2.2 废弃物分类处置与运输管理（含施工垃圾、管材包装）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6.2.3 噪声污染控制（夜间施工审批与低噪设备使用）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七、工程进度计划与措施；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7.1 施工进度计划编制依据与逻辑框架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7.1.1 基于WBS的分项工程分解结构（配水干管、支管、入户管、阀门井）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7.1.2 关键线路识别与工期控制节点（东庄村与上庄村同步推进策略）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7.2 分阶段施工进度安排与里程碑控制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7.2.1 地下管道铺设作业带划分与交叉施工组织（按村域分区实施）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7.2.2 阀门井布设与管网安装协同进度模型（655座井位动态调度）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7.3 进度保障措施体系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7.3.1 人力资源配置计划（日均投入施工人员≥30人，含测量、焊接、土方等专业工种）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八、资源配备计划；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8.1 人力资源配置计划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8.1.1 项目管理团队岗位设置与职责分工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8.1.2 施工现场作业人员数量及专业结构匹配方案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8.2 主要施工设备配备计划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8.2.1 管道铺设专用设备清单（挖掘机、吊车、焊接机等）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8.2.2 测量与检测仪器配置方案（水准仪、全站仪、水质检测仪）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8.3 材料供应保障措施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8.3.1 配水干管、支管及入户管材进场计划与质量控制流程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九、项目风险预测与防范，应急预案；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9.1 项目风险识别与分级管理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9.1.1 地质条件不确定性应对策略（基于东庄村地形特点）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9.1.2 管道施工穿越农田/道路的风险预判与规避措施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9.2 应急预案体系构建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9.2.1 管道破裂应急处置流程（含抢修资源调配机制）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9.2.2 雨季施工突发塌方的快速响应方案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9.3 安全生产专项防范措施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9.3.1 阀门井开挖作业防坍塌控制要点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十、项目的合理化建议；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10.1 施工组织设计总体框架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10.1.1 东庄村与上庄村分段施工协调机制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10.1.1.1 区域作业面划分与交叉施工控制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10.1.1.2 材料运输路径优化方案（含入户管铺设动线）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10.2 配水干管与支管施工技术措施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10.2.1 常规开挖埋管工艺流程标准化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10.2.1.1 管道沟槽开挖与回填质量控制要点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10.3 入户管安装专项保障措施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十一、重要分部工程或危险性较大的安全专项施工方案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11.1 施工组织设计总体框架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11.1.1 东庄村与上庄村分段施工逻辑划分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11.1.1.1 配水干管（3.75 km）施工分区与作业面安排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11.1.1.2 支管（6.74 km）与入户管（14.97 km）同步推进策略</w:t>
      </w:r>
    </w:p>
    <w:p>
      <w:pPr>
        <w:pStyle w:val="Heading2"/>
      </w:pPr>
      <w:r>
        <w:rPr>
          <w:rFonts w:ascii="黑体" w:hAnsi="黑体" w:eastAsia="黑体"/>
          <w:b/>
          <w:sz w:val="28"/>
        </w:rPr>
        <w:t>11.2 关键工序技术措施</w:t>
      </w:r>
    </w:p>
    <w:p>
      <w:pPr>
        <w:pStyle w:val="Heading3"/>
      </w:pPr>
      <w:r>
        <w:rPr>
          <w:rFonts w:ascii="黑体" w:hAnsi="黑体" w:eastAsia="黑体"/>
          <w:b w:val="0"/>
          <w:sz w:val="26"/>
        </w:rPr>
        <w:t>11.2.1 管道埋设工艺流程标准化控制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11.2.1.1 沟槽开挖与回填压实质量控制要点</w:t>
      </w:r>
    </w:p>
    <w:p>
      <w:pPr>
        <w:pStyle w:val="Heading4"/>
      </w:pPr>
      <w:r>
        <w:rPr>
          <w:rFonts w:ascii="黑体" w:hAnsi="黑体" w:eastAsia="黑体"/>
          <w:b w:val="0"/>
          <w:sz w:val="24"/>
        </w:rPr>
        <w:t>11.2.1.2 阀门井（655座）定位精度与结构稳定性保障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十二、附件一、拟投入本标段的主要施工设备表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十三、附件二、拟投入本标段的试验和检测仪器设备表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十四、附件三、拟投入本标段的劳动力计划表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十五、附件四、计划开工日期、完工日期和施工进度网络图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十六、附件五、施工总平面图</w:t>
      </w:r>
    </w:p>
    <w:p>
      <w:pPr>
        <w:pStyle w:val="Heading1"/>
      </w:pPr>
      <w:r>
        <w:rPr>
          <w:rFonts w:ascii="黑体" w:hAnsi="黑体" w:eastAsia="黑体"/>
          <w:b/>
          <w:sz w:val="32"/>
        </w:rPr>
        <w:t>十七、附件六、临时用地表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宋体"/>
      </w:rPr>
      <w:t xml:space="preserve">第 </w:t>
    </w:r>
    <w:r>
      <w:fldChar w:fldCharType="begin"/>
    </w:r>
    <w:r>
      <w:instrText xml:space="preserve">PAGE</w:instrText>
    </w:r>
    <w:r>
      <w:fldChar w:fldCharType="separate"/>
    </w:r>
    <w:r>
      <w:rPr>
        <w:rFonts w:ascii="Times New Roman" w:hAnsi="Times New Roman" w:eastAsia="宋体"/>
      </w:rPr>
      <w:t>1</w:t>
    </w:r>
    <w:r>
      <w:fldChar w:fldCharType="end"/>
    </w:r>
    <w:r>
      <w:rPr>
        <w:rFonts w:ascii="Times New Roman" w:hAnsi="Times New Roman" w:eastAsia="宋体"/>
      </w:rPr>
      <w:t xml:space="preserve"> 页 / 共 </w:t>
    </w:r>
    <w:r>
      <w:fldChar w:fldCharType="begin"/>
    </w:r>
    <w:r>
      <w:instrText xml:space="preserve">NUMPAGES</w:instrText>
    </w:r>
    <w:r>
      <w:fldChar w:fldCharType="separate"/>
    </w:r>
    <w:r>
      <w:rPr>
        <w:rFonts w:ascii="Times New Roman" w:hAnsi="Times New Roman" w:eastAsia="宋体"/>
      </w:rPr>
      <w:t>1</w:t>
    </w:r>
    <w:r>
      <w:fldChar w:fldCharType="end"/>
    </w:r>
    <w:r>
      <w:rPr>
        <w:rFonts w:ascii="Times New Roman" w:hAnsi="Times New Roman" w:eastAsia="宋体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