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rFonts w:ascii="黑体" w:hAnsi="黑体" w:eastAsia="黑体"/>
          <w:b/>
          <w:sz w:val="32"/>
        </w:rPr>
        <w:t>免责声明</w:t>
      </w:r>
    </w:p>
    <w:p/>
    <w:p>
      <w:pPr>
        <w:spacing w:after="80" w:line="360" w:lineRule="auto"/>
      </w:pPr>
      <w:r>
        <w:rPr>
          <w:rFonts w:ascii="Times New Roman" w:hAnsi="Times New Roman" w:eastAsia="宋体"/>
          <w:b/>
          <w:sz w:val="22"/>
        </w:rPr>
        <w:t>本工具仅供学习交流免费使用，所生成的技术方案不可直接用于投标，请务必人工核对。本工具不会通过任何平台进行销售，请用户注意辨别真伪。在您开始使用本AI标书制作服务之前，请认真阅读并同意以下关键条款。一旦您继续使用，即表示您已充分理解并认可本提示的全部内容。</w:t>
      </w:r>
    </w:p>
    <w:p>
      <w:pPr>
        <w:spacing w:after="80" w:line="360" w:lineRule="auto"/>
      </w:pPr>
      <w:r>
        <w:rPr>
          <w:rFonts w:ascii="Times New Roman" w:hAnsi="Times New Roman" w:eastAsia="宋体"/>
          <w:sz w:val="21"/>
        </w:rPr>
      </w:r>
    </w:p>
    <w:p>
      <w:pPr>
        <w:spacing w:after="80" w:line="360" w:lineRule="auto"/>
      </w:pPr>
      <w:r>
        <w:rPr>
          <w:rFonts w:ascii="Times New Roman" w:hAnsi="Times New Roman" w:eastAsia="宋体"/>
          <w:b/>
          <w:sz w:val="22"/>
        </w:rPr>
        <w:t>服务定位</w:t>
      </w:r>
    </w:p>
    <w:p>
      <w:pPr>
        <w:spacing w:after="80" w:line="360" w:lineRule="auto"/>
      </w:pPr>
      <w:r>
        <w:rPr>
          <w:rFonts w:ascii="Times New Roman" w:hAnsi="Times New Roman" w:eastAsia="宋体"/>
          <w:b/>
          <w:sz w:val="22"/>
        </w:rPr>
        <w:t>本工具为单机使用的AI标书辅助工具，旨在帮助您生成标书的参考素材。您需对最终自己编写的标书文件承担全部责任，包括审核、修改内容，确保其符合相关法律法规及项目要求。</w:t>
      </w:r>
    </w:p>
    <w:p>
      <w:pPr>
        <w:spacing w:after="80" w:line="360" w:lineRule="auto"/>
      </w:pPr>
      <w:r>
        <w:rPr>
          <w:rFonts w:ascii="Times New Roman" w:hAnsi="Times New Roman" w:eastAsia="宋体"/>
          <w:sz w:val="21"/>
        </w:rPr>
      </w:r>
    </w:p>
    <w:p>
      <w:pPr>
        <w:spacing w:after="80" w:line="360" w:lineRule="auto"/>
      </w:pPr>
      <w:r>
        <w:rPr>
          <w:rFonts w:ascii="Times New Roman" w:hAnsi="Times New Roman" w:eastAsia="宋体"/>
          <w:b/>
          <w:sz w:val="22"/>
        </w:rPr>
        <w:t>准确性免责</w:t>
      </w:r>
    </w:p>
    <w:p>
      <w:pPr>
        <w:spacing w:after="80" w:line="360" w:lineRule="auto"/>
      </w:pPr>
      <w:r>
        <w:rPr>
          <w:rFonts w:ascii="Times New Roman" w:hAnsi="Times New Roman" w:eastAsia="宋体"/>
          <w:b/>
          <w:sz w:val="22"/>
        </w:rPr>
        <w:t>本人不对AI生成内容的完全准确性与完整性作任何保证。您有义务自行核实所有关键信息，并自行承担因使用本工具所引发的一切后果。</w:t>
      </w:r>
    </w:p>
    <w:p>
      <w:pPr>
        <w:spacing w:after="80" w:line="360" w:lineRule="auto"/>
      </w:pPr>
      <w:r>
        <w:rPr>
          <w:rFonts w:ascii="Times New Roman" w:hAnsi="Times New Roman" w:eastAsia="宋体"/>
          <w:sz w:val="21"/>
        </w:rPr>
      </w:r>
    </w:p>
    <w:p>
      <w:pPr>
        <w:spacing w:after="80" w:line="360" w:lineRule="auto"/>
      </w:pPr>
      <w:r>
        <w:rPr>
          <w:rFonts w:ascii="Times New Roman" w:hAnsi="Times New Roman" w:eastAsia="宋体"/>
          <w:b/>
          <w:sz w:val="22"/>
        </w:rPr>
        <w:t>标书风险</w:t>
      </w:r>
    </w:p>
    <w:p>
      <w:pPr>
        <w:spacing w:after="80" w:line="360" w:lineRule="auto"/>
      </w:pPr>
      <w:r>
        <w:rPr>
          <w:rFonts w:ascii="Times New Roman" w:hAnsi="Times New Roman" w:eastAsia="宋体"/>
          <w:b/>
          <w:sz w:val="22"/>
        </w:rPr>
        <w:t>本工具所生成的素材文件仅作参考。若您使用（包括引用、修改或二次创作），需自行承担由此可能导致的废标、侵权等全部风险与责任，本人不承担任何相关责任。</w:t>
      </w:r>
    </w:p>
    <w:p>
      <w:pPr>
        <w:spacing w:after="80" w:line="360" w:lineRule="auto"/>
      </w:pPr>
      <w:r>
        <w:rPr>
          <w:rFonts w:ascii="Times New Roman" w:hAnsi="Times New Roman" w:eastAsia="宋体"/>
          <w:sz w:val="21"/>
        </w:rPr>
      </w:r>
    </w:p>
    <w:p>
      <w:pPr>
        <w:spacing w:after="80" w:line="360" w:lineRule="auto"/>
      </w:pPr>
      <w:r>
        <w:rPr>
          <w:rFonts w:ascii="Times New Roman" w:hAnsi="Times New Roman" w:eastAsia="宋体"/>
          <w:b/>
          <w:sz w:val="22"/>
        </w:rPr>
        <w:t>责任限制</w:t>
      </w:r>
    </w:p>
    <w:p>
      <w:pPr>
        <w:spacing w:after="80" w:line="360" w:lineRule="auto"/>
      </w:pPr>
      <w:r>
        <w:rPr>
          <w:rFonts w:ascii="Times New Roman" w:hAnsi="Times New Roman" w:eastAsia="宋体"/>
          <w:b/>
          <w:sz w:val="22"/>
        </w:rPr>
        <w:t>任何情形下，本人均不对因使用本服务而造成的任何直接、间接或衍生损失（例如利润损失、业务中断、数据丢失等）承担法律责任。</w:t>
      </w:r>
    </w:p>
    <w:p>
      <w:pPr>
        <w:spacing w:after="80" w:line="360" w:lineRule="auto"/>
      </w:pPr>
      <w:r>
        <w:rPr>
          <w:rFonts w:ascii="Times New Roman" w:hAnsi="Times New Roman" w:eastAsia="宋体"/>
          <w:sz w:val="21"/>
        </w:rPr>
      </w:r>
    </w:p>
    <w:p>
      <w:pPr>
        <w:spacing w:after="80" w:line="360" w:lineRule="auto"/>
      </w:pPr>
      <w:r>
        <w:rPr>
          <w:rFonts w:ascii="Times New Roman" w:hAnsi="Times New Roman" w:eastAsia="宋体"/>
          <w:b/>
          <w:sz w:val="22"/>
        </w:rPr>
        <w:t>其他事项</w:t>
      </w:r>
    </w:p>
    <w:p>
      <w:pPr>
        <w:spacing w:after="80" w:line="360" w:lineRule="auto"/>
      </w:pPr>
      <w:r>
        <w:rPr>
          <w:rFonts w:ascii="Times New Roman" w:hAnsi="Times New Roman" w:eastAsia="宋体"/>
          <w:b/>
          <w:sz w:val="22"/>
        </w:rPr>
        <w:t>本人保留随时修改或终止本服务的权利。本提示的解释及争议解决，均适用中华人民共和国法律。</w:t>
      </w:r>
    </w:p>
    <w:p>
      <w:r>
        <w:br w:type="page"/>
      </w:r>
    </w:p>
    <w:p>
      <w:pPr>
        <w:jc w:val="center"/>
      </w:pPr>
      <w:r>
        <w:rPr>
          <w:rFonts w:ascii="黑体" w:hAnsi="黑体" w:eastAsia="黑体"/>
          <w:b/>
          <w:color w:val="1A56DB"/>
          <w:sz w:val="44"/>
        </w:rPr>
        <w:t>一、tryht技术标书</w:t>
      </w:r>
    </w:p>
    <w:p/>
    <w:p>
      <w:pPr>
        <w:jc w:val="center"/>
      </w:pPr>
      <w:r>
        <w:rPr>
          <w:rFonts w:ascii="宋体" w:hAnsi="宋体" w:eastAsia="宋体"/>
          <w:sz w:val="28"/>
        </w:rPr>
        <w:t>2026年04月</w:t>
      </w:r>
    </w:p>
    <w:p>
      <w:r>
        <w:br w:type="page"/>
      </w:r>
    </w:p>
    <w:p>
      <w:pPr>
        <w:jc w:val="center"/>
      </w:pPr>
      <w:r>
        <w:rPr>
          <w:rFonts w:ascii="黑体" w:hAnsi="黑体" w:eastAsia="黑体"/>
          <w:b/>
          <w:sz w:val="32"/>
        </w:rPr>
        <w:t>目录</w:t>
      </w:r>
    </w:p>
    <w:p/>
    <w:p>
      <w:pPr>
        <w:spacing w:after="60"/>
        <w:ind w:left="0"/>
      </w:pPr>
      <w:r>
        <w:rPr>
          <w:rFonts w:ascii="宋体" w:hAnsi="宋体" w:eastAsia="宋体"/>
          <w:sz w:val="24"/>
        </w:rPr>
        <w:t>一、tryht技术标书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1.1 施工组织设计总体框架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1.1.1 工程特点与难点分析（东庄村、上庄村地形及施工环境）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1.1.2 分阶段施工部署与资源配置计划（干管、支管、入户管分区分段推进）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1.2 管道敷设专项技术措施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1.2.1 常规开挖埋管工艺流程（含沟槽支护、垫层铺设、管道安装）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1.2.2 接口密封与防腐处理标准（焊接质量控制、环氧煤沥青涂层施工）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1.3 质量保障体系与过程控制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1.3.1 材料进场检验与报验程序（管材、阀门井构件等合格率100%）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1.3.2 隐蔽工程验收节点设置（管道试压前、回填前关键点）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二、施工方案与技术措施；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2.1 管道敷设施工组织设计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2.1.1 分段流水作业法实施路径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2.1.2 常规开挖沟槽支护与回填压实工艺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2.2 配水干管及支管安装技术措施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2.2.1 PE管热熔连接质量控制要点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2.2.2 管道坡度控制与接口密封性保障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2.3 入户管铺设与入户接驳方案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2.3.1 户内穿墙套管预埋标准化流程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2.3.2 末端压力测试与冲洗消毒程序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三、项目重难点及应对措施分析；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3.1 管道敷设路径复杂性与地形适应性应对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3.1.1 东庄村-上庄村交叉区域施工协调机制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3.1.2 山区段管道坡度控制与防沉降措施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3.2 阀门井密集布设带来的施工组织挑战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3.2.1 分段流水作业优化方案（按村域划分）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3.2.2 井位冲突预警与动态调整机制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3.3 雨季施工对工期保障的潜在影响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3.3.1 基坑排水系统预置与应急响应预案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3.3.2 材料防潮存储与运输调度弹性策略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四、质量管理体系与措施；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4.1 质量管理组织架构与职责分工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4.1.1 项目质量领导小组设置及运行机制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4.1.1.1 项目经理质量第一责任人制度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4.1.1.2 技术负责人专项质量管理职责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4.2 材料与设备进场质量控制措施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4.2.1 管材、阀门等主要材料检验流程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4.2.1.1 出厂合格证核查与第三方抽检机制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4.2.1.2 入库验收台账与可追溯性管理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4.3 关键工序质量控制要点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五、安全管理体系与措施；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5.1 安全生产责任制体系构建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5.1.1 项目部专职安全管理人员配置方案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5.1.1.1 安全员持证上岗与职责分工明细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5.2 施工现场安全防护措施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5.2.1 管道沟槽开挖临边防护标准化做法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5.2.2 高处作业及交叉施工区域隔离措施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5.3 安全教育培训与交底机制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5.3.1 特种作业人员专项培训与考核记录模板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六、水保、环保管理体系与措施；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6.1 水土保持专项方案编制与实施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6.1.1 施工区域水土流失风险识别与分区管控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6.1.1.1 东庄村、上庄村地形地貌适应性分析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6.1.1.2 临时堆土区防护措施（含挡土墙、覆盖网）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6.2 环境保护控制措施体系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6.2.1 扬尘治理与裸土覆盖管理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6.2.1.1 配水干管施工段洒水降尘频次标准（每日≥3次）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6.2.1.2 入户管沟槽开挖后48小时内完成回填或覆盖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6.3 废弃物分类处理与资源化利用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6.4 施工总体进度安排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6.4.1 分阶段工期目标分解（开工至竣工共214日历天）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6.4.2 关键线路节点控制计划（配水干管、支管、入户管分段推进）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6.5 资源投入保障机制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6.5.1 机械设备配置计划（挖掘机、焊机、检测仪器等满足日均作业量）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6.5.2 劳动力动态调配方案（按施工强度分批进场，高峰期≥30人/日）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6.6 雨季施工专项进度保障措施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6.6.1 防雨防滑应急预案（覆盖东庄村、上庄村施工区域）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6.6.2 土方开挖与管道安装错峰作业策略（避开强降雨时段）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七、资源配备计划；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7.1 主要施工机械设备配置计划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7.1.1 挖掘机、吊车等土方作业设备清单及进场安排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7.1.2 管道焊接与检测设备配置（焊机、压力测试仪）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7.1.3 质量检测仪器配备（水质检测仪、沉降观测设备）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7.2 人力资源配置方案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7.2.1 项目经理部组织架构与职责分工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7.2.2 各工种人员数量及持证上岗情况（含安全员、质量员）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7.3 材料供应保障措施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7.3.1 管材、阀门井盖等主材采购计划与验收流程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八、项目风险预测与防范，应急预案；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8.1 项目风险识别与分级管理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8.1.1 气候风险：雨季施工影响分析（青海地区6-9月降雨集中）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8.1.2 地质风险：浅层土质松软对管道埋深稳定性的影响评估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8.1.3 安全风险：管沟开挖边坡失稳及机械伤害防控措施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8.2 应急预案体系构建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8.2.1 管道破裂应急响应流程（含抢修队伍、物资储备清单）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8.2.2 防汛专项预案：雨水倒灌施工现场的排水与设备保护方案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8.3 质量事故预防与处置机制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8.3.1 管道焊接缺陷快速检测与返工流程（依据GB50268标准）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九、项目的合理化建议；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9.1 基于地形特征的管道敷设优化建议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9.1.1 东庄村干管路径避开农田与林地的避让策略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9.1.1.1 利用现有村道布管减少征地冲突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9.1.1.2 地形高差段采用分段坡度控制降低水锤风险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9.2 入户管施工效率提升措施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9.2.1 分区域流水作业法缩短单点施工周期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9.2.1.1 上庄村5.1km入户管按自然村划分作业面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9.3 阀门井标准化安装工艺建议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9.3.1 模块化预制井室提升安装一致性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十、重要分部工程或危险性较大的安全专项施工方案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10.1 管道敷设施工方案与工艺流程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10.1.1 常规开挖埋管作业标准操作规程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10.1.1.1 沟槽开挖断面控制与边坡稳定措施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10.1.1.2 管道基础处理及回填压实工艺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10.2 阀门井施工专项技术措施</w:t>
      </w:r>
    </w:p>
    <w:p>
      <w:pPr>
        <w:spacing w:after="60"/>
        <w:ind w:left="850"/>
      </w:pPr>
      <w:r>
        <w:rPr>
          <w:rFonts w:ascii="宋体" w:hAnsi="宋体" w:eastAsia="宋体"/>
          <w:sz w:val="24"/>
        </w:rPr>
        <w:t>10.2.1 井室结构形式与材料选用标准</w:t>
      </w:r>
    </w:p>
    <w:p>
      <w:pPr>
        <w:spacing w:after="60"/>
        <w:ind w:left="1276"/>
      </w:pPr>
      <w:r>
        <w:rPr>
          <w:rFonts w:ascii="宋体" w:hAnsi="宋体" w:eastAsia="宋体"/>
          <w:sz w:val="24"/>
        </w:rPr>
        <w:t>10.2.1.1 钢筋混凝土预制井盖安装精度控制</w:t>
      </w:r>
    </w:p>
    <w:p>
      <w:pPr>
        <w:spacing w:after="60"/>
        <w:ind w:left="425"/>
      </w:pPr>
      <w:r>
        <w:rPr>
          <w:rFonts w:ascii="宋体" w:hAnsi="宋体" w:eastAsia="宋体"/>
          <w:sz w:val="24"/>
        </w:rPr>
        <w:t>10.3 质量保障体系与过程控制机制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十一、附表一: 拟投入本标段的主要施工设备表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十二、附表二：拟配备本标段的试验和检测仪器设备表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十三、附表三：劳动力计划表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十四、附表四：计划开、竣工日期和施工进度网络图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十五、附表五：施工总平面图</w:t>
      </w:r>
    </w:p>
    <w:p>
      <w:pPr>
        <w:spacing w:after="60"/>
        <w:ind w:left="0"/>
      </w:pPr>
      <w:r>
        <w:rPr>
          <w:rFonts w:ascii="宋体" w:hAnsi="宋体" w:eastAsia="宋体"/>
          <w:sz w:val="24"/>
        </w:rPr>
        <w:t>十六、附表六：临时用地表</w:t>
      </w:r>
    </w:p>
    <w:p>
      <w:r>
        <w:br w:type="page"/>
      </w:r>
    </w:p>
    <w:p>
      <w:pPr>
        <w:pStyle w:val="Heading1"/>
      </w:pPr>
      <w:r>
        <w:rPr>
          <w:rFonts w:ascii="黑体" w:hAnsi="黑体" w:eastAsia="黑体"/>
          <w:b/>
          <w:sz w:val="32"/>
        </w:rPr>
        <w:t>一、tryht技术标书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1.1 施工组织设计总体框架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1.1.1 工程特点与难点分析（东庄村、上庄村地形及施工环境）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1.1.2 分阶段施工部署与资源配置计划（干管、支管、入户管分区分段推进）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1.2 管道敷设专项技术措施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1.2.1 常规开挖埋管工艺流程（含沟槽支护、垫层铺设、管道安装）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1.2.2 接口密封与防腐处理标准（焊接质量控制、环氧煤沥青涂层施工）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1.3 质量保障体系与过程控制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1.3.1 材料进场检验与报验程序（管材、阀门井构件等合格率100%）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1.3.2 隐蔽工程验收节点设置（管道试压前、回填前关键点）</w:t>
      </w:r>
    </w:p>
    <w:p>
      <w:pPr>
        <w:pStyle w:val="Heading1"/>
      </w:pPr>
      <w:r>
        <w:rPr>
          <w:rFonts w:ascii="黑体" w:hAnsi="黑体" w:eastAsia="黑体"/>
          <w:b/>
          <w:sz w:val="32"/>
        </w:rPr>
        <w:t>二、施工方案与技术措施；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2.1 管道敷设施工组织设计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2.1.1 分段流水作业法实施路径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2.1.2 常规开挖沟槽支护与回填压实工艺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2.2 配水干管及支管安装技术措施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2.2.1 PE管热熔连接质量控制要点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2.2.2 管道坡度控制与接口密封性保障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2.3 入户管铺设与入户接驳方案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2.3.1 户内穿墙套管预埋标准化流程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2.3.2 末端压力测试与冲洗消毒程序</w:t>
      </w:r>
    </w:p>
    <w:p>
      <w:pPr>
        <w:pStyle w:val="Heading1"/>
      </w:pPr>
      <w:r>
        <w:rPr>
          <w:rFonts w:ascii="黑体" w:hAnsi="黑体" w:eastAsia="黑体"/>
          <w:b/>
          <w:sz w:val="32"/>
        </w:rPr>
        <w:t>三、项目重难点及应对措施分析；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3.1 管道敷设路径复杂性与地形适应性应对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3.1.1 东庄村-上庄村交叉区域施工协调机制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3.1.2 山区段管道坡度控制与防沉降措施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3.2 阀门井密集布设带来的施工组织挑战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3.2.1 分段流水作业优化方案（按村域划分）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3.2.2 井位冲突预警与动态调整机制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3.3 雨季施工对工期保障的潜在影响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3.3.1 基坑排水系统预置与应急响应预案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3.3.2 材料防潮存储与运输调度弹性策略</w:t>
      </w:r>
    </w:p>
    <w:p>
      <w:pPr>
        <w:pStyle w:val="Heading1"/>
      </w:pPr>
      <w:r>
        <w:rPr>
          <w:rFonts w:ascii="黑体" w:hAnsi="黑体" w:eastAsia="黑体"/>
          <w:b/>
          <w:sz w:val="32"/>
        </w:rPr>
        <w:t>四、质量管理体系与措施；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4.1 质量管理组织架构与职责分工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4.1.1 项目质量领导小组设置及运行机制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4.1.1.1 项目经理质量第一责任人制度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4.1.1.2 技术负责人专项质量管理职责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4.2 材料与设备进场质量控制措施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4.2.1 管材、阀门等主要材料检验流程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4.2.1.1 出厂合格证核查与第三方抽检机制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4.2.1.2 入库验收台账与可追溯性管理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4.3 关键工序质量控制要点</w:t>
      </w:r>
    </w:p>
    <w:p>
      <w:pPr>
        <w:pStyle w:val="Heading1"/>
      </w:pPr>
      <w:r>
        <w:rPr>
          <w:rFonts w:ascii="黑体" w:hAnsi="黑体" w:eastAsia="黑体"/>
          <w:b/>
          <w:sz w:val="32"/>
        </w:rPr>
        <w:t>五、安全管理体系与措施；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5.1 安全生产责任制体系构建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5.1.1 项目部专职安全管理人员配置方案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5.1.1.1 安全员持证上岗与职责分工明细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5.2 施工现场安全防护措施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5.2.1 管道沟槽开挖临边防护标准化做法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5.2.2 高处作业及交叉施工区域隔离措施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5.3 安全教育培训与交底机制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5.3.1 特种作业人员专项培训与考核记录模板</w:t>
      </w:r>
    </w:p>
    <w:p>
      <w:pPr>
        <w:pStyle w:val="Heading1"/>
      </w:pPr>
      <w:r>
        <w:rPr>
          <w:rFonts w:ascii="黑体" w:hAnsi="黑体" w:eastAsia="黑体"/>
          <w:b/>
          <w:sz w:val="32"/>
        </w:rPr>
        <w:t>六、水保、环保管理体系与措施；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6.1 水土保持专项方案编制与实施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6.1.1 施工区域水土流失风险识别与分区管控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6.1.1.1 东庄村、上庄村地形地貌适应性分析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6.1.1.2 临时堆土区防护措施（含挡土墙、覆盖网）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6.2 环境保护控制措施体系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6.2.1 扬尘治理与裸土覆盖管理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6.2.1.1 配水干管施工段洒水降尘频次标准（每日≥3次）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6.2.1.2 入户管沟槽开挖后48小时内完成回填或覆盖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6.3 废弃物分类处理与资源化利用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6.4 施工总体进度安排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6.4.1 分阶段工期目标分解（开工至竣工共214日历天）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6.4.2 关键线路节点控制计划（配水干管、支管、入户管分段推进）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6.5 资源投入保障机制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6.5.1 机械设备配置计划（挖掘机、焊机、检测仪器等满足日均作业量）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6.5.2 劳动力动态调配方案（按施工强度分批进场，高峰期≥30人/日）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6.6 雨季施工专项进度保障措施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6.6.1 防雨防滑应急预案（覆盖东庄村、上庄村施工区域）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6.6.2 土方开挖与管道安装错峰作业策略（避开强降雨时段）</w:t>
      </w:r>
    </w:p>
    <w:p>
      <w:pPr>
        <w:pStyle w:val="Heading1"/>
      </w:pPr>
      <w:r>
        <w:rPr>
          <w:rFonts w:ascii="黑体" w:hAnsi="黑体" w:eastAsia="黑体"/>
          <w:b/>
          <w:sz w:val="32"/>
        </w:rPr>
        <w:t>七、资源配备计划；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7.1 主要施工机械设备配置计划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7.1.1 挖掘机、吊车等土方作业设备清单及进场安排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7.1.2 管道焊接与检测设备配置（焊机、压力测试仪）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7.1.3 质量检测仪器配备（水质检测仪、沉降观测设备）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7.2 人力资源配置方案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7.2.1 项目经理部组织架构与职责分工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7.2.2 各工种人员数量及持证上岗情况（含安全员、质量员）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7.3 材料供应保障措施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7.3.1 管材、阀门井盖等主材采购计划与验收流程</w:t>
      </w:r>
    </w:p>
    <w:p>
      <w:pPr>
        <w:pStyle w:val="Heading1"/>
      </w:pPr>
      <w:r>
        <w:rPr>
          <w:rFonts w:ascii="黑体" w:hAnsi="黑体" w:eastAsia="黑体"/>
          <w:b/>
          <w:sz w:val="32"/>
        </w:rPr>
        <w:t>八、项目风险预测与防范，应急预案；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8.1 项目风险识别与分级管理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8.1.1 气候风险：雨季施工影响分析（青海地区6-9月降雨集中）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8.1.2 地质风险：浅层土质松软对管道埋深稳定性的影响评估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8.1.3 安全风险：管沟开挖边坡失稳及机械伤害防控措施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8.2 应急预案体系构建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8.2.1 管道破裂应急响应流程（含抢修队伍、物资储备清单）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8.2.2 防汛专项预案：雨水倒灌施工现场的排水与设备保护方案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8.3 质量事故预防与处置机制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8.3.1 管道焊接缺陷快速检测与返工流程（依据GB50268标准）</w:t>
      </w:r>
    </w:p>
    <w:p>
      <w:pPr>
        <w:pStyle w:val="Heading1"/>
      </w:pPr>
      <w:r>
        <w:rPr>
          <w:rFonts w:ascii="黑体" w:hAnsi="黑体" w:eastAsia="黑体"/>
          <w:b/>
          <w:sz w:val="32"/>
        </w:rPr>
        <w:t>九、项目的合理化建议；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9.1 基于地形特征的管道敷设优化建议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9.1.1 东庄村干管路径避开农田与林地的避让策略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9.1.1.1 利用现有村道布管减少征地冲突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9.1.1.2 地形高差段采用分段坡度控制降低水锤风险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9.2 入户管施工效率提升措施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9.2.1 分区域流水作业法缩短单点施工周期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9.2.1.1 上庄村5.1km入户管按自然村划分作业面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9.3 阀门井标准化安装工艺建议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9.3.1 模块化预制井室提升安装一致性</w:t>
      </w:r>
    </w:p>
    <w:p>
      <w:pPr>
        <w:pStyle w:val="Heading1"/>
      </w:pPr>
      <w:r>
        <w:rPr>
          <w:rFonts w:ascii="黑体" w:hAnsi="黑体" w:eastAsia="黑体"/>
          <w:b/>
          <w:sz w:val="32"/>
        </w:rPr>
        <w:t>十、重要分部工程或危险性较大的安全专项施工方案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10.1 管道敷设施工方案与工艺流程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10.1.1 常规开挖埋管作业标准操作规程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10.1.1.1 沟槽开挖断面控制与边坡稳定措施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10.1.1.2 管道基础处理及回填压实工艺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10.2 阀门井施工专项技术措施</w:t>
      </w:r>
    </w:p>
    <w:p>
      <w:pPr>
        <w:pStyle w:val="Heading3"/>
      </w:pPr>
      <w:r>
        <w:rPr>
          <w:rFonts w:ascii="黑体" w:hAnsi="黑体" w:eastAsia="黑体"/>
          <w:b w:val="0"/>
          <w:sz w:val="26"/>
        </w:rPr>
        <w:t>10.2.1 井室结构形式与材料选用标准</w:t>
      </w:r>
    </w:p>
    <w:p>
      <w:pPr>
        <w:pStyle w:val="Heading4"/>
      </w:pPr>
      <w:r>
        <w:rPr>
          <w:rFonts w:ascii="黑体" w:hAnsi="黑体" w:eastAsia="黑体"/>
          <w:b w:val="0"/>
          <w:sz w:val="24"/>
        </w:rPr>
        <w:t>10.2.1.1 钢筋混凝土预制井盖安装精度控制</w:t>
      </w:r>
    </w:p>
    <w:p>
      <w:pPr>
        <w:pStyle w:val="Heading2"/>
      </w:pPr>
      <w:r>
        <w:rPr>
          <w:rFonts w:ascii="黑体" w:hAnsi="黑体" w:eastAsia="黑体"/>
          <w:b/>
          <w:sz w:val="28"/>
        </w:rPr>
        <w:t>10.3 质量保障体系与过程控制机制</w:t>
      </w:r>
    </w:p>
    <w:p>
      <w:pPr>
        <w:pStyle w:val="Heading1"/>
      </w:pPr>
      <w:r>
        <w:rPr>
          <w:rFonts w:ascii="黑体" w:hAnsi="黑体" w:eastAsia="黑体"/>
          <w:b/>
          <w:sz w:val="32"/>
        </w:rPr>
        <w:t>十一、附表一: 拟投入本标段的主要施工设备表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序号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机械或设备名称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型号规格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数量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国别产地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制造年份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定额功率（KW）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生产能力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用于施工部位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备注</w:t>
            </w:r>
          </w:p>
        </w:tc>
      </w:tr>
      <w:tr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液压挖掘机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PC220-8MO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6台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132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斗容约1.0m³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土方开挖、基坑与回填作业面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自有或租赁按进度调配</w:t>
            </w:r>
          </w:p>
        </w:tc>
      </w:tr>
      <w:tr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履带式推土机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TY160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3台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121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平整效率满足工序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场地平整、路基粗平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与挖装设备流水衔接</w:t>
            </w:r>
          </w:p>
        </w:tc>
      </w:tr>
      <w:tr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3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自卸汽车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东风天锦 15t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12辆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180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额定载重15t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土方、砂石料及混凝土运输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道路与地磅条件满足通行</w:t>
            </w:r>
          </w:p>
        </w:tc>
      </w:tr>
      <w:tr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4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轮式装载机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L956F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2台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175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斗容约2.8m³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堆场装车、短驳与备料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与运输车辆匹配</w:t>
            </w:r>
          </w:p>
        </w:tc>
      </w:tr>
      <w:tr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5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振动压路机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SR26M-C5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2台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129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适用于基层与面层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路基、基层及面层压实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试验段确定压实参数</w:t>
            </w:r>
          </w:p>
        </w:tc>
      </w:tr>
      <w:tr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6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混凝土搅拌运输车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12m³ 陕汽底盘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6辆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276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几何容积12m³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商品混凝土水平运输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与泵车浇筑节拍匹配</w:t>
            </w:r>
          </w:p>
        </w:tc>
      </w:tr>
      <w:tr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7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汽车式起重机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STC250T4 25t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1台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206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主臂长度满足构件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钢筋、模板及小型构件吊装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专项方案与地基承载复核</w:t>
            </w:r>
          </w:p>
        </w:tc>
      </w:tr>
      <w:tr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8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柴油发电机组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SC9D340D2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1套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308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连续输出功率280kW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基坑降水、塔吊及高峰施工备用电</w:t>
            </w:r>
          </w:p>
        </w:tc>
        <w:tc>
          <w:tcPr>
            <w:tcW w:type="dxa" w:w="879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一机一闸一漏一箱</w:t>
            </w:r>
          </w:p>
        </w:tc>
      </w:tr>
    </w:tbl>
    <w:p>
      <w:pPr>
        <w:spacing w:after="120"/>
      </w:pPr>
    </w:p>
    <w:p>
      <w:pPr>
        <w:pStyle w:val="Heading1"/>
      </w:pPr>
      <w:r>
        <w:rPr>
          <w:rFonts w:ascii="黑体" w:hAnsi="黑体" w:eastAsia="黑体"/>
          <w:b/>
          <w:sz w:val="32"/>
        </w:rPr>
        <w:t>十二、附表二：拟配备本标段的试验和检测仪器设备表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序号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仪器设备名称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型号规格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数量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国别产地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制造年份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已使用台时数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用于施工部位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备注</w:t>
            </w:r>
          </w:p>
        </w:tc>
      </w:tr>
      <w:tr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全站仪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南方 NTS-362R10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4台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828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施工控制测量、轴线与坐标放样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检定合格且在有效期内</w:t>
            </w:r>
          </w:p>
        </w:tc>
      </w:tr>
      <w:tr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水准仪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苏一光 DSZ2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3台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897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高程传递、沉降与水准路线观测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i角定期校验</w:t>
            </w:r>
          </w:p>
        </w:tc>
      </w:tr>
      <w:tr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3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钢卷尺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30m Ⅰ级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8把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0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距离量测、模板与预埋位置复核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周期检定</w:t>
            </w:r>
          </w:p>
        </w:tc>
      </w:tr>
      <w:tr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4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游标卡尺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0–200mm 0.02mm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6把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0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钢筋直径、螺栓与加工件尺寸抽检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计量台账管理</w:t>
            </w:r>
          </w:p>
        </w:tc>
      </w:tr>
      <w:tr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5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混凝土回弹仪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ZC3-A 中回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1台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1145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结构混凝土强度现场抽检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率定试验按期进行</w:t>
            </w:r>
          </w:p>
        </w:tc>
      </w:tr>
      <w:tr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6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数字万用表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胜利 VC890C+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3台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1232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临电线路、设备绝缘与电压电流测试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CAT III 安全等级满足现场</w:t>
            </w:r>
          </w:p>
        </w:tc>
      </w:tr>
      <w:tr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7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接地电阻测试仪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Fluke 1623-2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1台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1319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接地网、防雷及设备接地电阻测试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三极法/钳形法按规范选用</w:t>
            </w:r>
          </w:p>
        </w:tc>
      </w:tr>
      <w:tr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8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绝缘电阻测试仪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Fluke 1507 1000V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1台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1407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电缆、电机及配电回路绝缘测试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送电前必测项目</w:t>
            </w:r>
          </w:p>
        </w:tc>
      </w:tr>
      <w:tr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9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电液伺服压力试验机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YES-2000 数显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1台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1495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混凝土、砂浆试块抗压强度试验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与标养室及见证取样制度配套</w:t>
            </w:r>
          </w:p>
        </w:tc>
      </w:tr>
      <w:tr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10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超声波测厚仪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Olympus 38DL PLUS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1台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中国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2025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1583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钢管、钢板及防腐层厚度抽检</w:t>
            </w:r>
          </w:p>
        </w:tc>
        <w:tc>
          <w:tcPr>
            <w:tcW w:type="dxa" w:w="976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耦合剂与探头匹配管材材质</w:t>
            </w:r>
          </w:p>
        </w:tc>
      </w:tr>
    </w:tbl>
    <w:p>
      <w:pPr>
        <w:spacing w:after="120"/>
      </w:pPr>
    </w:p>
    <w:p>
      <w:pPr>
        <w:pStyle w:val="Heading1"/>
      </w:pPr>
      <w:r>
        <w:rPr>
          <w:rFonts w:ascii="黑体" w:hAnsi="黑体" w:eastAsia="黑体"/>
          <w:b/>
          <w:sz w:val="32"/>
        </w:rPr>
        <w:t>十三、附表三：劳动力计划表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1465"/>
        <w:gridCol w:w="1465"/>
        <w:gridCol w:w="1465"/>
        <w:gridCol w:w="1465"/>
        <w:gridCol w:w="1465"/>
        <w:gridCol w:w="1465"/>
      </w:tblGrid>
      <w:tr>
        <w:tc>
          <w:tcPr>
            <w:tcW w:type="dxa" w:w="146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工种</w:t>
            </w:r>
          </w:p>
        </w:tc>
        <w:tc>
          <w:tcPr>
            <w:tcW w:type="dxa" w:w="7325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按工程施工阶段投入劳动力情况</w:t>
            </w:r>
          </w:p>
        </w:tc>
      </w:tr>
      <w:tr>
        <w:tc>
          <w:tcPr>
            <w:tcW w:type="dxa" w:w="146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</w:pP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施工准备阶段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建筑工程施工阶段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临时工程施工阶段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其他附属相关工程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收尾阶段</w:t>
            </w:r>
          </w:p>
        </w:tc>
      </w:tr>
      <w:tr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测量工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4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8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4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6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3</w:t>
            </w:r>
          </w:p>
        </w:tc>
      </w:tr>
      <w:tr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挖掘机司机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8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6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1</w:t>
            </w:r>
          </w:p>
        </w:tc>
      </w:tr>
      <w:tr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装载机司机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1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5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4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1</w:t>
            </w:r>
          </w:p>
        </w:tc>
      </w:tr>
      <w:tr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自卸车司机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10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6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4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</w:tr>
      <w:tr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木工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0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8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4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</w:tr>
      <w:tr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砼工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0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20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4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8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6</w:t>
            </w:r>
          </w:p>
        </w:tc>
      </w:tr>
      <w:tr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钢筋工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0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18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4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8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4</w:t>
            </w:r>
          </w:p>
        </w:tc>
      </w:tr>
      <w:tr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电工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3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4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3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4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3</w:t>
            </w:r>
          </w:p>
        </w:tc>
      </w:tr>
      <w:tr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普工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10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30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20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20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10</w:t>
            </w:r>
          </w:p>
        </w:tc>
      </w:tr>
      <w:tr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试验工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4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3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</w:tr>
      <w:tr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仓管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3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3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 w:val="0"/>
                <w:sz w:val="20"/>
              </w:rPr>
              <w:t>2</w:t>
            </w:r>
          </w:p>
        </w:tc>
      </w:tr>
      <w:tr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合计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26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118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57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64</w:t>
            </w:r>
          </w:p>
        </w:tc>
        <w:tc>
          <w:tcPr>
            <w:tcW w:type="dxa" w:w="1465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36</w:t>
            </w:r>
          </w:p>
        </w:tc>
      </w:tr>
    </w:tbl>
    <w:p>
      <w:pPr>
        <w:spacing w:after="120"/>
      </w:pPr>
    </w:p>
    <w:p>
      <w:pPr>
        <w:pStyle w:val="Heading1"/>
      </w:pPr>
      <w:r>
        <w:rPr>
          <w:rFonts w:ascii="黑体" w:hAnsi="黑体" w:eastAsia="黑体"/>
          <w:b/>
          <w:sz w:val="32"/>
        </w:rPr>
        <w:t>十四、附表四：计划开、竣工日期和施工进度网络图</w:t>
      </w:r>
    </w:p>
    <w:p>
      <w:pPr>
        <w:spacing w:before="8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400000" cy="3600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</w:pPr>
    </w:p>
    <w:p>
      <w:pPr>
        <w:pStyle w:val="Heading1"/>
      </w:pPr>
      <w:r>
        <w:rPr>
          <w:rFonts w:ascii="黑体" w:hAnsi="黑体" w:eastAsia="黑体"/>
          <w:b/>
          <w:sz w:val="32"/>
        </w:rPr>
        <w:t>十五、附表五：施工总平面图</w:t>
      </w:r>
    </w:p>
    <w:p>
      <w:pPr>
        <w:spacing w:before="8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400000" cy="3600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</w:pPr>
    </w:p>
    <w:p>
      <w:pPr>
        <w:pStyle w:val="Heading1"/>
      </w:pPr>
      <w:r>
        <w:rPr>
          <w:rFonts w:ascii="黑体" w:hAnsi="黑体" w:eastAsia="黑体"/>
          <w:b/>
          <w:sz w:val="32"/>
        </w:rPr>
        <w:t>十六、附表六：临时用地表</w:t>
      </w:r>
    </w:p>
    <w:tbl>
      <w:tblPr>
        <w:tblStyle w:val="TableGrid"/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2197"/>
        <w:gridCol w:w="2197"/>
        <w:gridCol w:w="2197"/>
        <w:gridCol w:w="2197"/>
      </w:tblGrid>
      <w:tr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用途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面积(㎡)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位置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  <w:shd w:val="clear" w:color="auto" w:fill="D6E4F7"/>
          </w:tcPr>
          <w:p>
            <w:pPr>
              <w:spacing w:before="0" w:after="0"/>
              <w:ind w:firstLine="0" w:left="0" w:right="0"/>
              <w:jc w:val="center"/>
            </w:pPr>
            <w:r>
              <w:rPr>
                <w:rFonts w:ascii="Times New Roman" w:hAnsi="Times New Roman" w:eastAsia="宋体"/>
                <w:b/>
                <w:sz w:val="20"/>
              </w:rPr>
              <w:t>需用时间</w:t>
            </w:r>
          </w:p>
        </w:tc>
      </w:tr>
      <w:tr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项目部办公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173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施工用地内近大门侧、与作业区相对独立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全施工期</w:t>
            </w:r>
          </w:p>
        </w:tc>
      </w:tr>
      <w:tr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门卫及保卫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14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施工现场主出入口内侧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全施工期</w:t>
            </w:r>
          </w:p>
        </w:tc>
      </w:tr>
      <w:tr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工人生活区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227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场区一侧，与加工堆场保持安全距离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全施工期</w:t>
            </w:r>
          </w:p>
        </w:tc>
      </w:tr>
      <w:tr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食堂与卫浴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31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生活区内上风向、排水接入沉淀设施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全施工期</w:t>
            </w:r>
          </w:p>
        </w:tc>
      </w:tr>
      <w:tr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材料堆场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337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主作业区侧、靠近施工道路与材料装卸通道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分阶段布设，与进度同步</w:t>
            </w:r>
          </w:p>
        </w:tc>
      </w:tr>
      <w:tr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钢木加工车间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315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靠近堆场与环场道路，设防噪声围挡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主体施工高峰期为主</w:t>
            </w:r>
          </w:p>
        </w:tc>
      </w:tr>
      <w:tr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机械停放区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205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硬化地坪、靠近出入口便于进退场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全施工期</w:t>
            </w:r>
          </w:p>
        </w:tc>
      </w:tr>
      <w:tr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临时道路及硬化场地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1063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环场主干道及作业面连通支线</w:t>
            </w:r>
          </w:p>
        </w:tc>
        <w:tc>
          <w:tcPr>
            <w:tcW w:type="dxa" w:w="2197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before="0" w:after="0"/>
              <w:ind w:firstLine="0" w:left="0" w:right="0"/>
              <w:jc w:val="left"/>
            </w:pPr>
            <w:r>
              <w:rPr>
                <w:rFonts w:ascii="Times New Roman" w:hAnsi="Times New Roman" w:eastAsia="宋体"/>
                <w:b w:val="0"/>
                <w:sz w:val="20"/>
              </w:rPr>
              <w:t>随施工阶段动态调整</w:t>
            </w:r>
          </w:p>
        </w:tc>
      </w:tr>
    </w:tbl>
    <w:p>
      <w:pPr>
        <w:spacing w:after="120"/>
      </w:pPr>
    </w:p>
    <w:sectPr w:rsidR="00FC693F" w:rsidRPr="0006063C" w:rsidSect="00034616">
      <w:headerReference w:type="default" r:id="rId9"/>
      <w:footerReference w:type="default" r:id="rId10"/>
      <w:pgSz w:w="11906" w:h="16838"/>
      <w:pgMar w:top="1417" w:right="1417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Times New Roman" w:hAnsi="Times New Roman" w:eastAsia="宋体"/>
      </w:rPr>
      <w:t xml:space="preserve">第 </w:t>
    </w:r>
    <w:r>
      <w:fldChar w:fldCharType="begin"/>
    </w:r>
    <w:r>
      <w:instrText xml:space="preserve">PAGE</w:instrText>
    </w:r>
    <w:r>
      <w:fldChar w:fldCharType="separate"/>
    </w:r>
    <w:r>
      <w:rPr>
        <w:rFonts w:ascii="Times New Roman" w:hAnsi="Times New Roman" w:eastAsia="宋体"/>
      </w:rPr>
      <w:t>1</w:t>
    </w:r>
    <w:r>
      <w:fldChar w:fldCharType="end"/>
    </w:r>
    <w:r>
      <w:rPr>
        <w:rFonts w:ascii="Times New Roman" w:hAnsi="Times New Roman" w:eastAsia="宋体"/>
      </w:rPr>
      <w:t xml:space="preserve"> 页 / 共 </w:t>
    </w:r>
    <w:r>
      <w:fldChar w:fldCharType="begin"/>
    </w:r>
    <w:r>
      <w:instrText xml:space="preserve">NUMPAGES</w:instrText>
    </w:r>
    <w:r>
      <w:fldChar w:fldCharType="separate"/>
    </w:r>
    <w:r>
      <w:rPr>
        <w:rFonts w:ascii="Times New Roman" w:hAnsi="Times New Roman" w:eastAsia="宋体"/>
      </w:rPr>
      <w:t>1</w:t>
    </w:r>
    <w:r>
      <w:fldChar w:fldCharType="end"/>
    </w:r>
    <w:r>
      <w:rPr>
        <w:rFonts w:ascii="Times New Roman" w:hAnsi="Times New Roman" w:eastAsia="宋体"/>
      </w:rPr>
      <w:t xml:space="preserve"> 页</w:t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